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7777777" w:rsidR="009D60D5" w:rsidRPr="001B5605" w:rsidRDefault="00BB2B57"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7D22BBB1" w:rsidR="00741D2D" w:rsidRPr="001B5605" w:rsidRDefault="00BB2B57" w:rsidP="001A5DAC">
            <w:pPr>
              <w:rPr>
                <w:rFonts w:asciiTheme="minorHAnsi" w:hAnsiTheme="minorHAnsi" w:cs="Arial"/>
                <w:sz w:val="24"/>
              </w:rPr>
            </w:pPr>
            <w:r w:rsidRPr="00BB2B57">
              <w:rPr>
                <w:rFonts w:asciiTheme="minorHAnsi" w:hAnsiTheme="minorHAnsi" w:cs="Arial"/>
                <w:i/>
                <w:sz w:val="24"/>
              </w:rPr>
              <w:t>Renforcement de  la mission d’assistance à maitrise d’ouvrage (AMOA) du système d’information cible de la CDC BENIN</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68F2E8F8" w:rsidR="00741D2D" w:rsidRPr="001B5605" w:rsidRDefault="00BB2B57" w:rsidP="008C7143">
            <w:pPr>
              <w:rPr>
                <w:rFonts w:asciiTheme="minorHAnsi" w:hAnsiTheme="minorHAnsi" w:cs="Arial"/>
                <w:sz w:val="24"/>
              </w:rPr>
            </w:pPr>
            <w:r>
              <w:rPr>
                <w:rFonts w:asciiTheme="minorHAnsi" w:hAnsiTheme="minorHAnsi" w:cs="Arial"/>
                <w:i/>
                <w:sz w:val="24"/>
              </w:rPr>
              <w:t>70</w:t>
            </w:r>
            <w:r w:rsidR="001A5DAC">
              <w:rPr>
                <w:rFonts w:asciiTheme="minorHAnsi" w:hAnsiTheme="minorHAnsi" w:cs="Arial"/>
                <w:i/>
                <w:sz w:val="24"/>
              </w:rPr>
              <w:t> 000 EUR</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30117F8F" w14:textId="18D597DE" w:rsidR="00554974" w:rsidRPr="008C7143"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554974" w:rsidRPr="00E52245">
              <w:rPr>
                <w:rFonts w:asciiTheme="minorHAnsi" w:hAnsiTheme="minorHAnsi" w:cstheme="minorHAnsi"/>
                <w:sz w:val="22"/>
                <w:szCs w:val="22"/>
              </w:rPr>
              <w:t xml:space="preserve"> </w:t>
            </w:r>
            <w:r w:rsidR="00611D26" w:rsidRPr="00611D26">
              <w:rPr>
                <w:rFonts w:asciiTheme="minorHAnsi" w:hAnsiTheme="minorHAnsi" w:cstheme="minorHAnsi"/>
                <w:sz w:val="22"/>
                <w:szCs w:val="22"/>
              </w:rPr>
              <w:t>procédure adaptée en application des articles L. 2123-1 et R. 2123-1 au R. 2123-7 du CCP</w:t>
            </w:r>
            <w:r w:rsidR="008C7143">
              <w:rPr>
                <w:rFonts w:asciiTheme="minorHAnsi" w:hAnsiTheme="minorHAnsi" w:cstheme="minorHAnsi"/>
                <w:sz w:val="22"/>
                <w:szCs w:val="22"/>
              </w:rPr>
              <w:t>.</w:t>
            </w:r>
          </w:p>
          <w:p w14:paraId="42614EF7" w14:textId="70406828"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BB2B57">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BB2B57">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BB2B57">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BB2B57">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BB2B57">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BB2B57">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BB2B57">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BB2B57">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BB2B57">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BB2B57">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BB2B57">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BB2B57">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BB2B57">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BB2B57">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BB2B57">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BB2B57">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BB2B57">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BB2B57">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BB2B57">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BB2B57">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BB2B57">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BB2B57">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BB2B57">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BB2B57">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BB2B57">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BB2B57">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BB2B57">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BB2B57">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BB2B57">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BB2B57">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BB2B57">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BB2B57">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BB2B57">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BB2B57">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BB2B57">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BB2B57">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BB2B57">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BB2B57">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BB2B57">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BB2B57">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BB2B57">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BB2B57">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3B0C5C57" w:rsidR="00416A7A" w:rsidRPr="008C7143" w:rsidRDefault="008C7143" w:rsidP="00416A7A">
      <w:pPr>
        <w:spacing w:before="120"/>
        <w:jc w:val="both"/>
        <w:rPr>
          <w:rFonts w:asciiTheme="minorHAnsi" w:eastAsia="Times New Roman" w:hAnsiTheme="minorHAnsi" w:cs="Arial"/>
          <w:sz w:val="22"/>
        </w:rPr>
      </w:pPr>
      <w:r w:rsidRPr="008C7143">
        <w:rPr>
          <w:rFonts w:asciiTheme="minorHAnsi" w:eastAsia="Times New Roman" w:hAnsiTheme="minorHAnsi" w:cs="Arial"/>
          <w:sz w:val="22"/>
        </w:rPr>
        <w:t>Le présent Contrat de prestation de services s’inscrit dans le cadre de l’assistance technique d’Expertise France au Projet d’Appui à l’Entreprenariat au Bénin (PAEB) mis en œuvre par l’</w:t>
      </w:r>
      <w:r>
        <w:rPr>
          <w:rFonts w:asciiTheme="minorHAnsi" w:eastAsia="Times New Roman" w:hAnsiTheme="minorHAnsi" w:cs="Arial"/>
          <w:sz w:val="22"/>
        </w:rPr>
        <w:t>AGENCE DE DEVELOPPEMENT DES PME</w:t>
      </w:r>
      <w:r w:rsidR="00DE1070"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1CDE9452"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BB2B57" w:rsidRPr="00BB2B57">
        <w:rPr>
          <w:rFonts w:asciiTheme="minorHAnsi" w:hAnsiTheme="minorHAnsi" w:cs="Arial"/>
          <w:i/>
        </w:rPr>
        <w:t>Renforcement de la mission d’assistance à maitrise d’ouvrage (AMOA) du système d’information cible de la CDC BENIN</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2AD216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7836928B"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6C4F3A">
        <w:rPr>
          <w:rFonts w:asciiTheme="minorHAnsi" w:hAnsiTheme="minorHAnsi" w:cstheme="minorHAnsi"/>
          <w:szCs w:val="22"/>
        </w:rPr>
        <w:t>marché public de services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6C4F3A">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48B63A7E"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1A5DAC">
        <w:rPr>
          <w:rFonts w:asciiTheme="minorHAnsi" w:hAnsiTheme="minorHAnsi" w:cs="Arial"/>
        </w:rPr>
        <w:t>08</w:t>
      </w:r>
      <w:r w:rsidR="006C4F3A">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FF1FE52"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2FE759C5" w:rsidR="001E12A9" w:rsidRPr="00A86E43" w:rsidRDefault="00494C0B" w:rsidP="00641B9F">
      <w:pPr>
        <w:pStyle w:val="v"/>
        <w:widowControl w:val="0"/>
        <w:spacing w:before="120"/>
        <w:ind w:left="556" w:firstLine="0"/>
        <w:rPr>
          <w:rFonts w:asciiTheme="minorHAnsi" w:hAnsiTheme="minorHAnsi" w:cs="Arial"/>
        </w:rPr>
      </w:pPr>
      <w:r w:rsidRPr="00494C0B">
        <w:rPr>
          <w:rFonts w:asciiTheme="minorHAnsi" w:hAnsiTheme="minorHAnsi" w:cs="Arial"/>
        </w:rPr>
        <w:t xml:space="preserve">La prestation est déclenchée de façon effective </w:t>
      </w:r>
      <w:r w:rsidR="006C4F3A">
        <w:rPr>
          <w:rFonts w:asciiTheme="minorHAnsi" w:hAnsiTheme="minorHAnsi" w:cs="Arial"/>
        </w:rPr>
        <w:t xml:space="preserve">à </w:t>
      </w:r>
      <w:r w:rsidR="001A5DAC">
        <w:rPr>
          <w:rFonts w:asciiTheme="minorHAnsi" w:hAnsiTheme="minorHAnsi" w:cs="Arial"/>
        </w:rPr>
        <w:t>réception du rapport de la mission de cadrage et de lancement des travaux, objet du</w:t>
      </w:r>
      <w:r w:rsidR="00B30BC2" w:rsidRPr="00A86E43">
        <w:rPr>
          <w:rFonts w:asciiTheme="minorHAnsi" w:hAnsiTheme="minorHAnsi" w:cs="Arial"/>
        </w:rPr>
        <w:t xml:space="preserve"> présent </w:t>
      </w:r>
      <w:r w:rsidR="00B30BC2" w:rsidRPr="00A86E43">
        <w:rPr>
          <w:rFonts w:asciiTheme="minorHAnsi" w:hAnsiTheme="minorHAnsi" w:cs="Arial"/>
          <w:smallCaps/>
        </w:rPr>
        <w:t>contrat</w:t>
      </w:r>
    </w:p>
    <w:p w14:paraId="50F89D80" w14:textId="30D2A5D2" w:rsidR="00E326F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1C302CBA" w14:textId="5E31CEED" w:rsidR="00494C0B" w:rsidRPr="00A86E43" w:rsidRDefault="00494C0B" w:rsidP="00E326F3">
      <w:pPr>
        <w:pStyle w:val="v"/>
        <w:widowControl w:val="0"/>
        <w:spacing w:before="120"/>
        <w:ind w:left="556" w:firstLine="0"/>
        <w:rPr>
          <w:rFonts w:asciiTheme="minorHAnsi" w:hAnsiTheme="minorHAnsi" w:cs="Arial"/>
        </w:rPr>
      </w:pPr>
      <w:r w:rsidRPr="000F51F8">
        <w:rPr>
          <w:rFonts w:asciiTheme="minorHAnsi" w:hAnsiTheme="minorHAnsi" w:cs="Arial"/>
        </w:rPr>
        <w:t>Indépendamment de la durée de validité du contrat, les prestations devront être entièrement effectuées conformément au nombre de jours d’expertise</w:t>
      </w:r>
      <w:r>
        <w:rPr>
          <w:rFonts w:asciiTheme="minorHAnsi" w:hAnsiTheme="minorHAnsi" w:cs="Arial"/>
        </w:rPr>
        <w:t xml:space="preserve"> prévus pour chaque expert désigné.</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3B6B5656"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BB2B57">
        <w:rPr>
          <w:rFonts w:asciiTheme="minorHAnsi" w:hAnsiTheme="minorHAnsi" w:cstheme="minorHAnsi"/>
          <w:szCs w:val="22"/>
          <w:highlight w:val="yellow"/>
        </w:rPr>
        <w:t>70</w:t>
      </w:r>
      <w:r w:rsidR="001A5DAC">
        <w:rPr>
          <w:rFonts w:asciiTheme="minorHAnsi" w:hAnsiTheme="minorHAnsi" w:cstheme="minorHAnsi"/>
          <w:szCs w:val="22"/>
          <w:highlight w:val="yellow"/>
        </w:rPr>
        <w:t xml:space="preserve"> 000</w:t>
      </w:r>
      <w:r w:rsidRPr="00A86E43">
        <w:rPr>
          <w:rFonts w:asciiTheme="minorHAnsi" w:hAnsiTheme="minorHAnsi" w:cstheme="minorHAnsi"/>
          <w:szCs w:val="22"/>
          <w:highlight w:val="yellow"/>
        </w:rPr>
        <w:t xml:space="preserve"> € HT (hors taxe).</w:t>
      </w:r>
    </w:p>
    <w:p w14:paraId="3A2ACC99" w14:textId="34B5386B"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w:t>
      </w:r>
      <w:r w:rsidR="00494C0B">
        <w:rPr>
          <w:rFonts w:asciiTheme="minorHAnsi" w:hAnsiTheme="minorHAnsi" w:cstheme="minorHAnsi"/>
          <w:szCs w:val="22"/>
        </w:rPr>
        <w:t xml:space="preserve"> sans réserve de l’ensemble </w:t>
      </w:r>
      <w:r w:rsidRPr="00A86E43">
        <w:rPr>
          <w:rFonts w:asciiTheme="minorHAnsi" w:hAnsiTheme="minorHAnsi" w:cstheme="minorHAnsi"/>
          <w:szCs w:val="22"/>
        </w:rPr>
        <w:t xml:space="preserve">des prestations attendues au titre du présent contrat. </w:t>
      </w:r>
    </w:p>
    <w:p w14:paraId="71F68E4E" w14:textId="7F4A2037" w:rsidR="000A6D39" w:rsidRPr="00A86E43" w:rsidRDefault="00853098" w:rsidP="00494C0B">
      <w:pPr>
        <w:pStyle w:val="Titre2"/>
        <w:spacing w:before="120" w:after="60"/>
        <w:rPr>
          <w:rFonts w:asciiTheme="minorHAnsi" w:hAnsiTheme="minorHAnsi" w:cstheme="minorHAnsi"/>
          <w:szCs w:val="22"/>
        </w:rPr>
      </w:pPr>
      <w:bookmarkStart w:id="18" w:name="_Toc392669637"/>
      <w:r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126921980"/>
      <w:r w:rsidRPr="00A86E43">
        <w:rPr>
          <w:rFonts w:asciiTheme="minorHAnsi" w:hAnsiTheme="minorHAnsi"/>
          <w:sz w:val="22"/>
        </w:rPr>
        <w:t>Avance</w:t>
      </w:r>
      <w:bookmarkEnd w:id="19"/>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0" w:name="_Toc126921981"/>
      <w:r w:rsidRPr="00A86E43">
        <w:rPr>
          <w:rFonts w:asciiTheme="minorHAnsi" w:hAnsiTheme="minorHAnsi"/>
          <w:sz w:val="22"/>
        </w:rPr>
        <w:t>Modalités de paiement</w:t>
      </w:r>
      <w:bookmarkEnd w:id="20"/>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265F4D76"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w:t>
      </w:r>
      <w:r w:rsidR="001A5DAC">
        <w:rPr>
          <w:rFonts w:asciiTheme="minorHAnsi" w:hAnsiTheme="minorHAnsi" w:cs="Arial"/>
          <w:szCs w:val="22"/>
        </w:rPr>
        <w:t>mensuels</w:t>
      </w:r>
      <w:r w:rsidRPr="00A86E43">
        <w:rPr>
          <w:rFonts w:asciiTheme="minorHAnsi" w:hAnsiTheme="minorHAnsi" w:cs="Arial"/>
          <w:szCs w:val="22"/>
        </w:rPr>
        <w:t xml:space="preserve">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r w:rsidR="001A5DAC">
        <w:rPr>
          <w:rFonts w:asciiTheme="minorHAnsi" w:hAnsiTheme="minorHAnsi" w:cs="Arial"/>
          <w:szCs w:val="22"/>
        </w:rPr>
        <w:t xml:space="preserve"> Le paiement des acomptes se fera donc sur la base de feuilles de temps approuvés par Expertise France et sur la base d’u rapport d’activité mensuel avec en annexes les livrables ayant fait l’objet de travaux sur la période concernée.</w:t>
      </w: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lastRenderedPageBreak/>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0B0A9B8B" w14:textId="77777777" w:rsidR="002712EA" w:rsidRPr="00A86E43" w:rsidRDefault="002712EA" w:rsidP="002712EA">
      <w:pPr>
        <w:pStyle w:val="Titre2"/>
        <w:spacing w:before="120" w:after="60"/>
        <w:rPr>
          <w:rFonts w:asciiTheme="minorHAnsi" w:hAnsiTheme="minorHAnsi"/>
          <w:sz w:val="22"/>
        </w:rPr>
      </w:pPr>
      <w:bookmarkStart w:id="21" w:name="_Toc126921983"/>
      <w:r w:rsidRPr="00A86E43">
        <w:rPr>
          <w:rFonts w:asciiTheme="minorHAnsi" w:hAnsiTheme="minorHAnsi"/>
          <w:sz w:val="22"/>
        </w:rPr>
        <w:t>Présentation des demandes de paiement</w:t>
      </w:r>
      <w:bookmarkEnd w:id="21"/>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2" w:name="_Toc126921984"/>
      <w:bookmarkStart w:id="23" w:name="_Toc344300189"/>
      <w:bookmarkEnd w:id="18"/>
      <w:r w:rsidRPr="00A86E43">
        <w:rPr>
          <w:rFonts w:asciiTheme="minorHAnsi" w:hAnsiTheme="minorHAnsi"/>
          <w:sz w:val="22"/>
        </w:rPr>
        <w:t>Virement bancaire</w:t>
      </w:r>
      <w:bookmarkEnd w:id="22"/>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4"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3"/>
      <w:bookmarkEnd w:id="24"/>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5" w:name="_Toc392669638"/>
      <w:bookmarkStart w:id="26" w:name="_Toc126921986"/>
      <w:r w:rsidRPr="00A86E43">
        <w:rPr>
          <w:rFonts w:asciiTheme="minorHAnsi" w:hAnsiTheme="minorHAnsi"/>
          <w:sz w:val="22"/>
          <w:szCs w:val="22"/>
        </w:rPr>
        <w:t>Impôts et taxes</w:t>
      </w:r>
      <w:bookmarkEnd w:id="25"/>
      <w:bookmarkEnd w:id="26"/>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7"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7"/>
    </w:p>
    <w:p w14:paraId="47340EBA" w14:textId="77777777" w:rsidR="00F72033" w:rsidRPr="00A86E43" w:rsidRDefault="000243D6" w:rsidP="00A1761D">
      <w:pPr>
        <w:pStyle w:val="Titre2"/>
        <w:jc w:val="both"/>
        <w:rPr>
          <w:rFonts w:asciiTheme="minorHAnsi" w:hAnsiTheme="minorHAnsi" w:cstheme="minorHAnsi"/>
          <w:sz w:val="22"/>
          <w:szCs w:val="22"/>
        </w:rPr>
      </w:pPr>
      <w:bookmarkStart w:id="28" w:name="_Toc390691469"/>
      <w:bookmarkStart w:id="29" w:name="_Toc392669640"/>
      <w:bookmarkStart w:id="30"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8"/>
      <w:bookmarkEnd w:id="29"/>
      <w:bookmarkEnd w:id="30"/>
    </w:p>
    <w:p w14:paraId="3325C3B9" w14:textId="68251E5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Pr="00A86E43">
        <w:rPr>
          <w:rFonts w:asciiTheme="minorHAnsi" w:hAnsiTheme="minorHAnsi" w:cstheme="minorHAnsi"/>
          <w:szCs w:val="22"/>
        </w:rPr>
        <w:t xml:space="preserve">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par :</w:t>
      </w:r>
    </w:p>
    <w:p w14:paraId="27E4683E" w14:textId="3266885A" w:rsidR="00BB2B57" w:rsidRDefault="00BB2B57" w:rsidP="00BB2B57">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Le</w:t>
      </w:r>
      <w:r w:rsidR="00F766D6" w:rsidRPr="00A86E43">
        <w:rPr>
          <w:rFonts w:asciiTheme="minorHAnsi" w:hAnsiTheme="minorHAnsi" w:cstheme="minorHAnsi"/>
          <w:szCs w:val="22"/>
        </w:rPr>
        <w:t xml:space="preserve"> </w:t>
      </w:r>
      <w:r w:rsidR="001A5DAC">
        <w:rPr>
          <w:rFonts w:asciiTheme="minorHAnsi" w:hAnsiTheme="minorHAnsi" w:cstheme="minorHAnsi"/>
          <w:szCs w:val="22"/>
        </w:rPr>
        <w:t>Coordonnateur d’Assistance Technique</w:t>
      </w:r>
      <w:bookmarkStart w:id="31" w:name="_Toc390691470"/>
      <w:bookmarkStart w:id="32" w:name="_Toc392669641"/>
      <w:bookmarkStart w:id="33" w:name="_Toc126921989"/>
    </w:p>
    <w:p w14:paraId="7E97D2A3" w14:textId="4F8FEBD8" w:rsidR="00BB2B57" w:rsidRDefault="00BB2B57" w:rsidP="00BB2B57">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Directrice Générale de la CDCB</w:t>
      </w:r>
    </w:p>
    <w:p w14:paraId="5CD930C1" w14:textId="516B63FA" w:rsidR="00BB2B57" w:rsidRPr="00BB2B57" w:rsidRDefault="00BB2B57" w:rsidP="00BB2B57">
      <w:pPr>
        <w:pStyle w:val="u"/>
        <w:widowControl w:val="0"/>
        <w:numPr>
          <w:ilvl w:val="0"/>
          <w:numId w:val="11"/>
        </w:numPr>
        <w:rPr>
          <w:rFonts w:asciiTheme="minorHAnsi" w:hAnsiTheme="minorHAnsi" w:cstheme="minorHAnsi"/>
          <w:szCs w:val="22"/>
        </w:rPr>
      </w:pPr>
      <w:r w:rsidRPr="00BB2B57">
        <w:rPr>
          <w:rFonts w:asciiTheme="minorHAnsi" w:hAnsiTheme="minorHAnsi" w:cstheme="minorHAnsi"/>
          <w:szCs w:val="22"/>
        </w:rPr>
        <w:t>Directeur de l’organisation et des systèmes d’informations</w:t>
      </w:r>
      <w:r>
        <w:rPr>
          <w:rFonts w:asciiTheme="minorHAnsi" w:hAnsiTheme="minorHAnsi" w:cstheme="minorHAnsi"/>
          <w:szCs w:val="22"/>
        </w:rPr>
        <w:t xml:space="preserve"> de la CDCB</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1"/>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2"/>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3"/>
    </w:p>
    <w:p w14:paraId="0842A4DD" w14:textId="4687B0EA" w:rsidR="00C27993" w:rsidRPr="00A86E43" w:rsidRDefault="00494C0B"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es décisions d’admission des prestations pourront être prononcées par</w:t>
      </w:r>
      <w:r w:rsidR="00C27993" w:rsidRPr="00A86E43">
        <w:rPr>
          <w:rFonts w:asciiTheme="minorHAnsi" w:hAnsiTheme="minorHAnsi" w:cstheme="minorHAnsi"/>
          <w:szCs w:val="22"/>
        </w:rPr>
        <w:t> :</w:t>
      </w:r>
    </w:p>
    <w:p w14:paraId="06C46AEF" w14:textId="08CC3CD7" w:rsidR="00BB2B57" w:rsidRDefault="00BB2B57" w:rsidP="00BB2B57">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Pr="00A86E43">
        <w:rPr>
          <w:rFonts w:asciiTheme="minorHAnsi" w:hAnsiTheme="minorHAnsi" w:cstheme="minorHAnsi"/>
          <w:szCs w:val="22"/>
        </w:rPr>
        <w:t xml:space="preserve">e </w:t>
      </w:r>
      <w:r>
        <w:rPr>
          <w:rFonts w:asciiTheme="minorHAnsi" w:hAnsiTheme="minorHAnsi" w:cstheme="minorHAnsi"/>
          <w:szCs w:val="22"/>
        </w:rPr>
        <w:t>Coordonnateur d’Assistance Technique</w:t>
      </w:r>
    </w:p>
    <w:p w14:paraId="3847106B" w14:textId="77777777" w:rsidR="00BB2B57" w:rsidRDefault="00BB2B57" w:rsidP="00BB2B57">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Directrice Générale de la CDCB</w:t>
      </w:r>
    </w:p>
    <w:p w14:paraId="194D9830" w14:textId="77777777" w:rsidR="00BB2B57" w:rsidRPr="00BB2B57" w:rsidRDefault="00BB2B57" w:rsidP="00BB2B57">
      <w:pPr>
        <w:pStyle w:val="u"/>
        <w:widowControl w:val="0"/>
        <w:numPr>
          <w:ilvl w:val="0"/>
          <w:numId w:val="11"/>
        </w:numPr>
        <w:rPr>
          <w:rFonts w:asciiTheme="minorHAnsi" w:hAnsiTheme="minorHAnsi" w:cstheme="minorHAnsi"/>
          <w:szCs w:val="22"/>
        </w:rPr>
      </w:pPr>
      <w:r w:rsidRPr="00BB2B57">
        <w:rPr>
          <w:rFonts w:asciiTheme="minorHAnsi" w:hAnsiTheme="minorHAnsi" w:cstheme="minorHAnsi"/>
          <w:szCs w:val="22"/>
        </w:rPr>
        <w:t>Directeur de l’organisation et des systèmes d’informations</w:t>
      </w:r>
      <w:r>
        <w:rPr>
          <w:rFonts w:asciiTheme="minorHAnsi" w:hAnsiTheme="minorHAnsi" w:cstheme="minorHAnsi"/>
          <w:szCs w:val="22"/>
        </w:rPr>
        <w:t xml:space="preserve"> de la CDCB</w:t>
      </w:r>
    </w:p>
    <w:p w14:paraId="3D6F3473" w14:textId="5274B233" w:rsidR="00BE055A" w:rsidRPr="00494C0B" w:rsidRDefault="00F766D6" w:rsidP="001A5DAC">
      <w:pPr>
        <w:pStyle w:val="u"/>
        <w:widowControl w:val="0"/>
        <w:numPr>
          <w:ilvl w:val="12"/>
          <w:numId w:val="0"/>
        </w:numPr>
        <w:spacing w:before="120"/>
        <w:ind w:left="561"/>
        <w:rPr>
          <w:rFonts w:asciiTheme="minorHAnsi" w:hAnsiTheme="minorHAnsi" w:cstheme="minorHAnsi"/>
          <w:szCs w:val="22"/>
        </w:rPr>
      </w:pPr>
      <w:r w:rsidRPr="00494C0B">
        <w:rPr>
          <w:rFonts w:asciiTheme="minorHAnsi" w:hAnsiTheme="minorHAnsi" w:cstheme="minorHAnsi"/>
          <w:szCs w:val="22"/>
        </w:rPr>
        <w:t>L'absence de réponse d</w:t>
      </w:r>
      <w:r w:rsidR="0080413C" w:rsidRPr="00494C0B">
        <w:rPr>
          <w:rFonts w:asciiTheme="minorHAnsi" w:hAnsiTheme="minorHAnsi" w:cstheme="minorHAnsi"/>
          <w:szCs w:val="22"/>
        </w:rPr>
        <w:t>’</w:t>
      </w:r>
      <w:r w:rsidR="0080413C" w:rsidRPr="00494C0B">
        <w:rPr>
          <w:rFonts w:asciiTheme="minorHAnsi" w:hAnsiTheme="minorHAnsi" w:cstheme="minorHAnsi"/>
          <w:smallCaps/>
          <w:szCs w:val="22"/>
        </w:rPr>
        <w:t>Expertise France</w:t>
      </w:r>
      <w:r w:rsidR="0080413C" w:rsidRPr="00494C0B">
        <w:rPr>
          <w:rFonts w:asciiTheme="minorHAnsi" w:hAnsiTheme="minorHAnsi" w:cstheme="minorHAnsi"/>
          <w:szCs w:val="22"/>
        </w:rPr>
        <w:t xml:space="preserve"> </w:t>
      </w:r>
      <w:r w:rsidRPr="00494C0B">
        <w:rPr>
          <w:rFonts w:asciiTheme="minorHAnsi" w:hAnsiTheme="minorHAnsi" w:cstheme="minorHAnsi"/>
          <w:szCs w:val="22"/>
        </w:rPr>
        <w:t xml:space="preserve">ne vaut pas </w:t>
      </w:r>
      <w:r w:rsidR="00D00B3A" w:rsidRPr="00494C0B">
        <w:rPr>
          <w:rFonts w:asciiTheme="minorHAnsi" w:hAnsiTheme="minorHAnsi" w:cstheme="minorHAnsi"/>
          <w:szCs w:val="22"/>
        </w:rPr>
        <w:t>réception tacite des prestations</w:t>
      </w:r>
      <w:r w:rsidR="00701BF6" w:rsidRPr="00494C0B">
        <w:rPr>
          <w:rFonts w:asciiTheme="minorHAnsi" w:hAnsiTheme="minorHAnsi" w:cstheme="minorHAnsi"/>
          <w:szCs w:val="22"/>
        </w:rPr>
        <w:t xml:space="preserve"> et des fournitures</w:t>
      </w:r>
      <w:r w:rsidR="00D00B3A" w:rsidRPr="00494C0B">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4"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4"/>
    </w:p>
    <w:p w14:paraId="7939A46F" w14:textId="77777777" w:rsidR="00BB2B57" w:rsidRPr="00A86E43" w:rsidRDefault="00BB2B57" w:rsidP="00BB2B57">
      <w:pPr>
        <w:pStyle w:val="Titre2"/>
        <w:spacing w:before="120" w:after="60"/>
        <w:rPr>
          <w:rFonts w:asciiTheme="minorHAnsi" w:hAnsiTheme="minorHAnsi" w:cstheme="minorHAnsi"/>
          <w:sz w:val="22"/>
          <w:szCs w:val="22"/>
        </w:rPr>
      </w:pPr>
      <w:bookmarkStart w:id="35" w:name="_Toc392669642"/>
      <w:bookmarkStart w:id="36" w:name="_Toc126921992"/>
      <w:bookmarkStart w:id="37" w:name="_Toc392669644"/>
      <w:bookmarkStart w:id="38" w:name="_Toc170394979"/>
      <w:bookmarkStart w:id="39" w:name="_Toc392669643"/>
      <w:r w:rsidRPr="00A86E43">
        <w:rPr>
          <w:rFonts w:asciiTheme="minorHAnsi" w:hAnsiTheme="minorHAnsi" w:cstheme="minorHAnsi"/>
          <w:sz w:val="22"/>
          <w:szCs w:val="22"/>
        </w:rPr>
        <w:t>Tableau des livrables</w:t>
      </w:r>
      <w:bookmarkEnd w:id="38"/>
    </w:p>
    <w:tbl>
      <w:tblPr>
        <w:tblStyle w:val="Grilledutableau2"/>
        <w:tblW w:w="0" w:type="auto"/>
        <w:tblInd w:w="562" w:type="dxa"/>
        <w:tblLook w:val="04A0" w:firstRow="1" w:lastRow="0" w:firstColumn="1" w:lastColumn="0" w:noHBand="0" w:noVBand="1"/>
      </w:tblPr>
      <w:tblGrid>
        <w:gridCol w:w="1368"/>
        <w:gridCol w:w="5233"/>
        <w:gridCol w:w="2573"/>
      </w:tblGrid>
      <w:tr w:rsidR="00BB2B57" w:rsidRPr="00D43979" w14:paraId="725255DB" w14:textId="77777777" w:rsidTr="00BB2B57">
        <w:tc>
          <w:tcPr>
            <w:tcW w:w="9174" w:type="dxa"/>
            <w:gridSpan w:val="3"/>
          </w:tcPr>
          <w:bookmarkEnd w:id="39"/>
          <w:p w14:paraId="33663029"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Livrables finaux</w:t>
            </w:r>
          </w:p>
        </w:tc>
      </w:tr>
      <w:tr w:rsidR="00BB2B57" w:rsidRPr="00D43979" w14:paraId="39A3DF75" w14:textId="77777777" w:rsidTr="00BB2B57">
        <w:tc>
          <w:tcPr>
            <w:tcW w:w="1368" w:type="dxa"/>
          </w:tcPr>
          <w:p w14:paraId="5BB49EE7"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Postes</w:t>
            </w:r>
          </w:p>
        </w:tc>
        <w:tc>
          <w:tcPr>
            <w:tcW w:w="5233" w:type="dxa"/>
          </w:tcPr>
          <w:p w14:paraId="3B40F6EF"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Livrables</w:t>
            </w:r>
          </w:p>
        </w:tc>
        <w:tc>
          <w:tcPr>
            <w:tcW w:w="2573" w:type="dxa"/>
          </w:tcPr>
          <w:p w14:paraId="464E01B2"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Délai de remise du livrable</w:t>
            </w:r>
          </w:p>
        </w:tc>
      </w:tr>
      <w:tr w:rsidR="00BB2B57" w:rsidRPr="00D43979" w14:paraId="025C8418" w14:textId="77777777" w:rsidTr="00BB2B57">
        <w:tc>
          <w:tcPr>
            <w:tcW w:w="1368" w:type="dxa"/>
          </w:tcPr>
          <w:p w14:paraId="5EC06484"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1</w:t>
            </w:r>
          </w:p>
        </w:tc>
        <w:tc>
          <w:tcPr>
            <w:tcW w:w="5233" w:type="dxa"/>
          </w:tcPr>
          <w:p w14:paraId="15DD1411"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Pr>
                <w:rFonts w:asciiTheme="minorHAnsi" w:hAnsiTheme="minorHAnsi" w:cs="Calibri"/>
              </w:rPr>
              <w:t>Rapport mensuel n°1</w:t>
            </w:r>
          </w:p>
        </w:tc>
        <w:tc>
          <w:tcPr>
            <w:tcW w:w="2573" w:type="dxa"/>
          </w:tcPr>
          <w:p w14:paraId="5D578A2B"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1 mois</w:t>
            </w:r>
          </w:p>
        </w:tc>
      </w:tr>
      <w:tr w:rsidR="00BB2B57" w:rsidRPr="00D43979" w14:paraId="0CC4AFD9" w14:textId="77777777" w:rsidTr="00BB2B57">
        <w:tc>
          <w:tcPr>
            <w:tcW w:w="1368" w:type="dxa"/>
          </w:tcPr>
          <w:p w14:paraId="3244327C"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lastRenderedPageBreak/>
              <w:t>2</w:t>
            </w:r>
          </w:p>
        </w:tc>
        <w:tc>
          <w:tcPr>
            <w:tcW w:w="5233" w:type="dxa"/>
          </w:tcPr>
          <w:p w14:paraId="7D518780"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Pr>
                <w:rFonts w:asciiTheme="minorHAnsi" w:hAnsiTheme="minorHAnsi" w:cs="Calibri"/>
              </w:rPr>
              <w:t>Rapport mensuel n°2</w:t>
            </w:r>
          </w:p>
        </w:tc>
        <w:tc>
          <w:tcPr>
            <w:tcW w:w="2573" w:type="dxa"/>
          </w:tcPr>
          <w:p w14:paraId="3BC84325"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Pr>
                <w:rFonts w:asciiTheme="minorHAnsi" w:hAnsiTheme="minorHAnsi" w:cs="Calibri"/>
                <w:sz w:val="22"/>
                <w:szCs w:val="22"/>
              </w:rPr>
              <w:t>2</w:t>
            </w:r>
            <w:r w:rsidRPr="00D43979">
              <w:rPr>
                <w:rFonts w:asciiTheme="minorHAnsi" w:hAnsiTheme="minorHAnsi" w:cs="Calibri"/>
                <w:sz w:val="22"/>
                <w:szCs w:val="22"/>
              </w:rPr>
              <w:t xml:space="preserve"> mois</w:t>
            </w:r>
          </w:p>
        </w:tc>
      </w:tr>
      <w:tr w:rsidR="00BB2B57" w:rsidRPr="00D43979" w14:paraId="556A362C" w14:textId="77777777" w:rsidTr="00BB2B57">
        <w:tc>
          <w:tcPr>
            <w:tcW w:w="1368" w:type="dxa"/>
          </w:tcPr>
          <w:p w14:paraId="709ABD4B"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3</w:t>
            </w:r>
          </w:p>
        </w:tc>
        <w:tc>
          <w:tcPr>
            <w:tcW w:w="5233" w:type="dxa"/>
          </w:tcPr>
          <w:p w14:paraId="7B5CDF8D"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rPr>
            </w:pPr>
            <w:r>
              <w:rPr>
                <w:rFonts w:asciiTheme="minorHAnsi" w:hAnsiTheme="minorHAnsi" w:cs="Calibri"/>
              </w:rPr>
              <w:t>Rapport mensuel n°3</w:t>
            </w:r>
          </w:p>
        </w:tc>
        <w:tc>
          <w:tcPr>
            <w:tcW w:w="2573" w:type="dxa"/>
          </w:tcPr>
          <w:p w14:paraId="34F9276C"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3 mois</w:t>
            </w:r>
          </w:p>
        </w:tc>
      </w:tr>
      <w:tr w:rsidR="00BB2B57" w:rsidRPr="00D43979" w14:paraId="2474058B" w14:textId="77777777" w:rsidTr="00BB2B57">
        <w:tc>
          <w:tcPr>
            <w:tcW w:w="1368" w:type="dxa"/>
          </w:tcPr>
          <w:p w14:paraId="66AD0AF3"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4</w:t>
            </w:r>
          </w:p>
        </w:tc>
        <w:tc>
          <w:tcPr>
            <w:tcW w:w="5233" w:type="dxa"/>
          </w:tcPr>
          <w:p w14:paraId="178A0BBC"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rPr>
            </w:pPr>
            <w:r>
              <w:rPr>
                <w:rFonts w:asciiTheme="minorHAnsi" w:hAnsiTheme="minorHAnsi" w:cs="Calibri"/>
              </w:rPr>
              <w:t>Rapport mensuel n°4</w:t>
            </w:r>
          </w:p>
        </w:tc>
        <w:tc>
          <w:tcPr>
            <w:tcW w:w="2573" w:type="dxa"/>
          </w:tcPr>
          <w:p w14:paraId="25F0DDA7"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4 mois</w:t>
            </w:r>
          </w:p>
        </w:tc>
      </w:tr>
      <w:tr w:rsidR="00BB2B57" w:rsidRPr="00D43979" w14:paraId="5389AEB6" w14:textId="77777777" w:rsidTr="00BB2B57">
        <w:tc>
          <w:tcPr>
            <w:tcW w:w="1368" w:type="dxa"/>
          </w:tcPr>
          <w:p w14:paraId="12056FFA"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5</w:t>
            </w:r>
          </w:p>
        </w:tc>
        <w:tc>
          <w:tcPr>
            <w:tcW w:w="5233" w:type="dxa"/>
          </w:tcPr>
          <w:p w14:paraId="75A5926C"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rPr>
            </w:pPr>
            <w:r>
              <w:rPr>
                <w:rFonts w:asciiTheme="minorHAnsi" w:hAnsiTheme="minorHAnsi" w:cs="Calibri"/>
              </w:rPr>
              <w:t>Rapport mensuel n°5</w:t>
            </w:r>
          </w:p>
        </w:tc>
        <w:tc>
          <w:tcPr>
            <w:tcW w:w="2573" w:type="dxa"/>
          </w:tcPr>
          <w:p w14:paraId="6BEF39CF"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Pr>
                <w:rFonts w:asciiTheme="minorHAnsi" w:hAnsiTheme="minorHAnsi" w:cs="Calibri"/>
                <w:sz w:val="22"/>
                <w:szCs w:val="22"/>
              </w:rPr>
              <w:t>5</w:t>
            </w:r>
            <w:r w:rsidRPr="00D43979">
              <w:rPr>
                <w:rFonts w:asciiTheme="minorHAnsi" w:hAnsiTheme="minorHAnsi" w:cs="Calibri"/>
                <w:sz w:val="22"/>
                <w:szCs w:val="22"/>
              </w:rPr>
              <w:t xml:space="preserve"> mois</w:t>
            </w:r>
          </w:p>
        </w:tc>
      </w:tr>
      <w:tr w:rsidR="00BB2B57" w:rsidRPr="00D43979" w14:paraId="5F6E0080" w14:textId="77777777" w:rsidTr="00BB2B57">
        <w:tc>
          <w:tcPr>
            <w:tcW w:w="1368" w:type="dxa"/>
          </w:tcPr>
          <w:p w14:paraId="64006756"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sidRPr="00D43979">
              <w:rPr>
                <w:rFonts w:asciiTheme="minorHAnsi" w:hAnsiTheme="minorHAnsi" w:cs="Calibri"/>
                <w:sz w:val="22"/>
                <w:szCs w:val="22"/>
              </w:rPr>
              <w:t>6</w:t>
            </w:r>
          </w:p>
        </w:tc>
        <w:tc>
          <w:tcPr>
            <w:tcW w:w="5233" w:type="dxa"/>
          </w:tcPr>
          <w:p w14:paraId="7E894BAB" w14:textId="77777777" w:rsidR="00BB2B57" w:rsidRPr="00D43979" w:rsidRDefault="00BB2B57" w:rsidP="00BB2B57">
            <w:pPr>
              <w:widowControl w:val="0"/>
              <w:numPr>
                <w:ilvl w:val="12"/>
                <w:numId w:val="0"/>
              </w:numPr>
              <w:overflowPunct w:val="0"/>
              <w:autoSpaceDE w:val="0"/>
              <w:autoSpaceDN w:val="0"/>
              <w:adjustRightInd w:val="0"/>
              <w:spacing w:line="240" w:lineRule="auto"/>
              <w:textAlignment w:val="baseline"/>
              <w:rPr>
                <w:rFonts w:asciiTheme="minorHAnsi" w:eastAsia="Arial Unicode MS" w:hAnsiTheme="minorHAnsi" w:cs="Calibri"/>
                <w:color w:val="000000"/>
              </w:rPr>
            </w:pPr>
            <w:r>
              <w:rPr>
                <w:rFonts w:asciiTheme="minorHAnsi" w:eastAsia="Arial Unicode MS" w:hAnsiTheme="minorHAnsi" w:cs="Calibri"/>
                <w:color w:val="000000"/>
              </w:rPr>
              <w:t>Rapport mensuel n°6</w:t>
            </w:r>
          </w:p>
        </w:tc>
        <w:tc>
          <w:tcPr>
            <w:tcW w:w="2573" w:type="dxa"/>
          </w:tcPr>
          <w:p w14:paraId="7428E1DE" w14:textId="77777777" w:rsidR="00BB2B57" w:rsidRPr="00D43979" w:rsidRDefault="00BB2B57" w:rsidP="00BB2B57">
            <w:pPr>
              <w:widowControl w:val="0"/>
              <w:numPr>
                <w:ilvl w:val="12"/>
                <w:numId w:val="0"/>
              </w:numPr>
              <w:overflowPunct w:val="0"/>
              <w:autoSpaceDE w:val="0"/>
              <w:autoSpaceDN w:val="0"/>
              <w:adjustRightInd w:val="0"/>
              <w:spacing w:line="240" w:lineRule="auto"/>
              <w:jc w:val="both"/>
              <w:textAlignment w:val="baseline"/>
              <w:rPr>
                <w:rFonts w:asciiTheme="minorHAnsi" w:hAnsiTheme="minorHAnsi" w:cs="Calibri"/>
                <w:sz w:val="22"/>
                <w:szCs w:val="22"/>
              </w:rPr>
            </w:pPr>
            <w:r>
              <w:rPr>
                <w:rFonts w:asciiTheme="minorHAnsi" w:hAnsiTheme="minorHAnsi" w:cs="Calibri"/>
                <w:sz w:val="22"/>
                <w:szCs w:val="22"/>
              </w:rPr>
              <w:t>6</w:t>
            </w:r>
            <w:r w:rsidRPr="00D43979">
              <w:rPr>
                <w:rFonts w:asciiTheme="minorHAnsi" w:hAnsiTheme="minorHAnsi" w:cs="Calibri"/>
                <w:sz w:val="22"/>
                <w:szCs w:val="22"/>
              </w:rPr>
              <w:t xml:space="preserve"> mois</w:t>
            </w:r>
          </w:p>
        </w:tc>
      </w:tr>
    </w:tbl>
    <w:p w14:paraId="51B402F6" w14:textId="77777777" w:rsidR="00BB2B57" w:rsidRDefault="00BB2B57" w:rsidP="00EF653D">
      <w:pPr>
        <w:pStyle w:val="Titre2"/>
        <w:spacing w:before="120" w:after="60"/>
        <w:rPr>
          <w:rFonts w:asciiTheme="minorHAnsi" w:hAnsiTheme="minorHAnsi" w:cstheme="minorHAnsi"/>
          <w:sz w:val="22"/>
          <w:szCs w:val="22"/>
        </w:rPr>
      </w:pPr>
    </w:p>
    <w:p w14:paraId="15B70C93" w14:textId="4F2B7854" w:rsidR="00EF653D" w:rsidRPr="00A86E43" w:rsidRDefault="00EF653D" w:rsidP="00EF653D">
      <w:pPr>
        <w:pStyle w:val="Titre2"/>
        <w:spacing w:before="120" w:after="60"/>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bookmarkEnd w:id="35"/>
      <w:bookmarkEnd w:id="36"/>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126921993"/>
      <w:r w:rsidRPr="00A86E43">
        <w:rPr>
          <w:rFonts w:asciiTheme="minorHAnsi" w:hAnsiTheme="minorHAnsi" w:cstheme="minorHAnsi"/>
          <w:sz w:val="22"/>
          <w:szCs w:val="22"/>
        </w:rPr>
        <w:t>Lieu d’exécution</w:t>
      </w:r>
      <w:bookmarkEnd w:id="37"/>
      <w:bookmarkEnd w:id="40"/>
    </w:p>
    <w:p w14:paraId="5395A5CD" w14:textId="24FABE94" w:rsidR="00DF07F8" w:rsidRPr="00A86E43" w:rsidRDefault="005563C9" w:rsidP="00DF07F8">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bookmarkStart w:id="41" w:name="_Toc126921994"/>
      <w:r w:rsidR="00DF07F8" w:rsidRPr="00DF07F8">
        <w:rPr>
          <w:rFonts w:asciiTheme="minorHAnsi" w:hAnsiTheme="minorHAnsi" w:cstheme="minorHAnsi"/>
          <w:szCs w:val="22"/>
        </w:rPr>
        <w:t xml:space="preserve"> </w:t>
      </w:r>
      <w:r w:rsidR="00DF07F8" w:rsidRPr="00A86E43">
        <w:rPr>
          <w:rFonts w:asciiTheme="minorHAnsi" w:hAnsiTheme="minorHAnsi" w:cstheme="minorHAnsi"/>
          <w:szCs w:val="22"/>
        </w:rPr>
        <w:t xml:space="preserve">en </w:t>
      </w:r>
      <w:r w:rsidR="00DF07F8">
        <w:rPr>
          <w:rFonts w:asciiTheme="minorHAnsi" w:hAnsiTheme="minorHAnsi" w:cstheme="minorHAnsi"/>
          <w:szCs w:val="22"/>
        </w:rPr>
        <w:t>République du Bénin</w:t>
      </w:r>
      <w:r w:rsidR="001A5DAC">
        <w:rPr>
          <w:rFonts w:asciiTheme="minorHAnsi" w:hAnsiTheme="minorHAnsi" w:cstheme="minorHAnsi"/>
          <w:szCs w:val="22"/>
        </w:rPr>
        <w:t xml:space="preserve"> et à distance</w:t>
      </w:r>
      <w:r w:rsidR="00DF07F8">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126921996"/>
      <w:bookmarkStart w:id="43" w:name="_Toc392669645"/>
      <w:bookmarkEnd w:id="41"/>
      <w:r>
        <w:rPr>
          <w:rFonts w:asciiTheme="minorHAnsi" w:hAnsiTheme="minorHAnsi" w:cstheme="minorHAnsi"/>
          <w:sz w:val="22"/>
          <w:szCs w:val="22"/>
        </w:rPr>
        <w:t>Langue du contrat</w:t>
      </w:r>
      <w:bookmarkEnd w:id="42"/>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126921997"/>
      <w:r w:rsidRPr="00A86E43">
        <w:rPr>
          <w:rFonts w:asciiTheme="minorHAnsi" w:hAnsiTheme="minorHAnsi" w:cstheme="minorHAnsi"/>
          <w:sz w:val="22"/>
          <w:szCs w:val="22"/>
        </w:rPr>
        <w:t xml:space="preserve">Engagement du </w:t>
      </w:r>
      <w:bookmarkEnd w:id="43"/>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26921998"/>
      <w:r w:rsidRPr="00A86E43">
        <w:rPr>
          <w:rFonts w:asciiTheme="minorHAnsi" w:hAnsiTheme="minorHAnsi" w:cstheme="minorHAnsi"/>
          <w:sz w:val="22"/>
          <w:szCs w:val="22"/>
        </w:rPr>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1027510E"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 xml:space="preserve">dispose en temps utile des documents nécessaires à la réalisation des </w:t>
      </w:r>
      <w:r w:rsidR="00DF07F8">
        <w:rPr>
          <w:rFonts w:asciiTheme="minorHAnsi" w:hAnsiTheme="minorHAnsi" w:cstheme="minorHAnsi"/>
          <w:szCs w:val="22"/>
        </w:rPr>
        <w:t>prestations.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26922000"/>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26922001"/>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w:t>
      </w:r>
      <w:r w:rsidRPr="00A86E43">
        <w:rPr>
          <w:rFonts w:asciiTheme="minorHAnsi" w:hAnsiTheme="minorHAnsi" w:cstheme="minorHAnsi"/>
          <w:szCs w:val="22"/>
        </w:rPr>
        <w:lastRenderedPageBreak/>
        <w:t xml:space="preserve">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014F0429"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F5F3DE9" w14:textId="10C6BF48" w:rsidR="00DF07F8" w:rsidRDefault="00DF07F8" w:rsidP="00D07897">
      <w:pPr>
        <w:pStyle w:val="u"/>
        <w:widowControl w:val="0"/>
        <w:numPr>
          <w:ilvl w:val="12"/>
          <w:numId w:val="0"/>
        </w:numPr>
        <w:spacing w:before="120" w:after="120"/>
        <w:ind w:left="561"/>
        <w:rPr>
          <w:rFonts w:asciiTheme="minorHAnsi" w:hAnsiTheme="minorHAnsi" w:cstheme="minorHAnsi"/>
          <w:szCs w:val="22"/>
        </w:rPr>
      </w:pPr>
    </w:p>
    <w:p w14:paraId="33A4E175" w14:textId="77777777" w:rsidR="00DF07F8" w:rsidRDefault="00DF07F8"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23C7E0A9" w:rsidR="00D07897" w:rsidRPr="00FA0BB4" w:rsidRDefault="001A5DAC" w:rsidP="00FA0BB4">
            <w:pPr>
              <w:widowControl w:val="0"/>
              <w:numPr>
                <w:ilvl w:val="12"/>
                <w:numId w:val="0"/>
              </w:numPr>
              <w:shd w:val="clear" w:color="auto" w:fill="FFFFFF" w:themeFill="background1"/>
              <w:spacing w:line="240" w:lineRule="auto"/>
              <w:jc w:val="both"/>
              <w:rPr>
                <w:rFonts w:asciiTheme="minorHAnsi" w:hAnsiTheme="minorHAnsi" w:cstheme="minorHAnsi"/>
                <w:sz w:val="22"/>
                <w:szCs w:val="22"/>
              </w:rPr>
            </w:pPr>
            <w:r w:rsidRPr="00FA0BB4">
              <w:rPr>
                <w:rFonts w:asciiTheme="minorHAnsi" w:hAnsiTheme="minorHAnsi" w:cstheme="minorHAnsi"/>
                <w:sz w:val="22"/>
                <w:szCs w:val="22"/>
              </w:rPr>
              <w:t>Latif DIOP</w:t>
            </w:r>
          </w:p>
          <w:p w14:paraId="460271CF" w14:textId="4364C039" w:rsidR="001A5DAC" w:rsidRPr="00FA0BB4" w:rsidRDefault="001A5DAC" w:rsidP="00FA0BB4">
            <w:pPr>
              <w:widowControl w:val="0"/>
              <w:numPr>
                <w:ilvl w:val="12"/>
                <w:numId w:val="0"/>
              </w:numPr>
              <w:shd w:val="clear" w:color="auto" w:fill="FFFFFF" w:themeFill="background1"/>
              <w:spacing w:line="240" w:lineRule="auto"/>
              <w:jc w:val="both"/>
              <w:rPr>
                <w:rFonts w:asciiTheme="minorHAnsi" w:hAnsiTheme="minorHAnsi" w:cstheme="minorHAnsi"/>
                <w:sz w:val="22"/>
                <w:szCs w:val="22"/>
              </w:rPr>
            </w:pPr>
            <w:r w:rsidRPr="00FA0BB4">
              <w:rPr>
                <w:rFonts w:asciiTheme="minorHAnsi" w:hAnsiTheme="minorHAnsi" w:cstheme="minorHAnsi"/>
                <w:sz w:val="22"/>
                <w:szCs w:val="22"/>
              </w:rPr>
              <w:t>Coordonnateur Assistance Technique PAEB</w:t>
            </w:r>
          </w:p>
          <w:p w14:paraId="38DD0932" w14:textId="54F4203E" w:rsidR="00D07897" w:rsidRPr="00FA0BB4" w:rsidRDefault="00D07897" w:rsidP="00FA0BB4">
            <w:pPr>
              <w:widowControl w:val="0"/>
              <w:numPr>
                <w:ilvl w:val="12"/>
                <w:numId w:val="0"/>
              </w:numPr>
              <w:shd w:val="clear" w:color="auto" w:fill="FFFFFF" w:themeFill="background1"/>
              <w:spacing w:line="240" w:lineRule="auto"/>
              <w:jc w:val="both"/>
              <w:rPr>
                <w:rFonts w:asciiTheme="minorHAnsi" w:hAnsiTheme="minorHAnsi" w:cstheme="minorHAnsi"/>
                <w:sz w:val="22"/>
                <w:szCs w:val="22"/>
              </w:rPr>
            </w:pPr>
            <w:r w:rsidRPr="00FA0BB4">
              <w:rPr>
                <w:rFonts w:asciiTheme="minorHAnsi" w:hAnsiTheme="minorHAnsi" w:cstheme="minorHAnsi"/>
                <w:sz w:val="22"/>
                <w:szCs w:val="22"/>
              </w:rPr>
              <w:t xml:space="preserve">Département </w:t>
            </w:r>
            <w:r w:rsidR="001A5DAC" w:rsidRPr="00FA0BB4">
              <w:rPr>
                <w:rFonts w:asciiTheme="minorHAnsi" w:hAnsiTheme="minorHAnsi" w:cstheme="minorHAnsi"/>
                <w:sz w:val="22"/>
                <w:szCs w:val="22"/>
              </w:rPr>
              <w:t>Economie Durable et Inclusive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26922002"/>
      <w:r>
        <w:rPr>
          <w:rFonts w:asciiTheme="minorHAnsi" w:hAnsiTheme="minorHAnsi" w:cstheme="minorHAnsi"/>
          <w:sz w:val="22"/>
          <w:szCs w:val="22"/>
        </w:rPr>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Dans le cadre de la politique de lutte contre la défo</w:t>
      </w:r>
      <w:bookmarkStart w:id="55" w:name="_GoBack"/>
      <w:bookmarkEnd w:id="55"/>
      <w:r>
        <w:rPr>
          <w:rFonts w:asciiTheme="minorHAnsi" w:eastAsia="Calibri" w:hAnsiTheme="minorHAnsi" w:cstheme="minorHAnsi"/>
          <w:sz w:val="22"/>
          <w:szCs w:val="22"/>
          <w:lang w:eastAsia="en-US"/>
        </w:rPr>
        <w:t xml:space="preserve">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lastRenderedPageBreak/>
        <w:t>Clause de réexamen</w:t>
      </w:r>
      <w:bookmarkEnd w:id="56"/>
    </w:p>
    <w:p w14:paraId="7BEF083B" w14:textId="77777777" w:rsidR="00DF07F8" w:rsidRDefault="009766DB" w:rsidP="00DF07F8">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w:t>
      </w:r>
      <w:r w:rsidR="00DF07F8">
        <w:rPr>
          <w:rFonts w:asciiTheme="minorHAnsi" w:hAnsiTheme="minorHAnsi" w:cs="Arial"/>
          <w:szCs w:val="22"/>
        </w:rPr>
        <w:t xml:space="preserve">ans les conditions suivantes : </w:t>
      </w:r>
    </w:p>
    <w:p w14:paraId="14FF8CBF" w14:textId="798AB144" w:rsidR="009766DB" w:rsidRPr="0089576F" w:rsidRDefault="009766DB" w:rsidP="00DF07F8">
      <w:pPr>
        <w:pStyle w:val="u"/>
        <w:widowControl w:val="0"/>
        <w:numPr>
          <w:ilvl w:val="12"/>
          <w:numId w:val="0"/>
        </w:numPr>
        <w:spacing w:before="120"/>
        <w:ind w:left="561"/>
        <w:rPr>
          <w:rFonts w:asciiTheme="minorHAnsi" w:hAnsiTheme="minorHAnsi" w:cs="Arial"/>
          <w:szCs w:val="22"/>
        </w:rPr>
      </w:pPr>
      <w:r w:rsidRPr="00DF07F8">
        <w:rPr>
          <w:rFonts w:asciiTheme="minorHAnsi" w:hAnsiTheme="minorHAnsi" w:cs="Arial"/>
          <w:szCs w:val="22"/>
        </w:rPr>
        <w:t>La mise à jour d’éléments techniques (précisions sur les livrables</w:t>
      </w:r>
      <w:r w:rsidR="00DF07F8" w:rsidRPr="00DF07F8">
        <w:rPr>
          <w:rFonts w:asciiTheme="minorHAnsi" w:hAnsiTheme="minorHAnsi" w:cs="Arial"/>
          <w:szCs w:val="22"/>
        </w:rPr>
        <w:t>)</w:t>
      </w:r>
      <w:r w:rsidRPr="00DF07F8">
        <w:rPr>
          <w:rFonts w:asciiTheme="minorHAnsi" w:hAnsiTheme="minorHAnsi" w:cs="Arial"/>
          <w:szCs w:val="22"/>
        </w:rPr>
        <w:t>.</w:t>
      </w:r>
    </w:p>
    <w:p w14:paraId="2AC74079" w14:textId="61475E86"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simple échange de courrier</w:t>
      </w:r>
      <w:r w:rsidR="00DF07F8">
        <w:rPr>
          <w:rFonts w:asciiTheme="minorHAnsi" w:hAnsiTheme="minorHAnsi" w:cs="Arial"/>
          <w:szCs w:val="22"/>
        </w:rPr>
        <w:t xml:space="preserve"> électronique avec accusée de réception</w:t>
      </w:r>
      <w:r w:rsidRPr="00A86E43">
        <w:rPr>
          <w:rFonts w:asciiTheme="minorHAnsi" w:hAnsiTheme="minorHAnsi" w:cs="Arial"/>
          <w:szCs w:val="22"/>
        </w:rPr>
        <w:t>.</w:t>
      </w:r>
    </w:p>
    <w:p w14:paraId="39012791" w14:textId="7226188D"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11D2D369" w:rsidR="00C64382" w:rsidRDefault="00DF07F8" w:rsidP="00DF07F8">
      <w:pPr>
        <w:widowControl w:val="0"/>
        <w:numPr>
          <w:ilvl w:val="12"/>
          <w:numId w:val="0"/>
        </w:numPr>
        <w:overflowPunct w:val="0"/>
        <w:autoSpaceDE w:val="0"/>
        <w:autoSpaceDN w:val="0"/>
        <w:adjustRightInd w:val="0"/>
        <w:spacing w:line="240" w:lineRule="auto"/>
        <w:ind w:left="561"/>
        <w:jc w:val="both"/>
        <w:textAlignment w:val="baseline"/>
        <w:rPr>
          <w:rFonts w:asciiTheme="minorHAnsi" w:eastAsia="Times New Roman" w:hAnsiTheme="minorHAnsi" w:cs="Arial"/>
          <w:sz w:val="22"/>
        </w:rPr>
      </w:pPr>
      <w:r>
        <w:rPr>
          <w:rFonts w:asciiTheme="minorHAnsi" w:eastAsia="Times New Roman" w:hAnsiTheme="minorHAnsi" w:cs="Arial"/>
          <w:sz w:val="22"/>
        </w:rPr>
        <w:t>N/A</w:t>
      </w:r>
    </w:p>
    <w:p w14:paraId="60052827" w14:textId="77777777" w:rsidR="00DF07F8" w:rsidRPr="00A86E43" w:rsidRDefault="00DF07F8" w:rsidP="00DF07F8">
      <w:pPr>
        <w:widowControl w:val="0"/>
        <w:numPr>
          <w:ilvl w:val="12"/>
          <w:numId w:val="0"/>
        </w:numPr>
        <w:overflowPunct w:val="0"/>
        <w:autoSpaceDE w:val="0"/>
        <w:autoSpaceDN w:val="0"/>
        <w:adjustRightInd w:val="0"/>
        <w:spacing w:line="240" w:lineRule="auto"/>
        <w:ind w:left="561"/>
        <w:jc w:val="both"/>
        <w:textAlignment w:val="baseline"/>
        <w:rPr>
          <w:rFonts w:asciiTheme="minorHAnsi" w:eastAsia="Times New Roman" w:hAnsiTheme="minorHAnsi" w:cs="Arial"/>
          <w:sz w:val="22"/>
        </w:rPr>
      </w:pPr>
    </w:p>
    <w:p w14:paraId="4BE26D91" w14:textId="77777777" w:rsidR="001570D6" w:rsidRPr="00A86E43" w:rsidRDefault="00265A08" w:rsidP="00DF07F8">
      <w:pPr>
        <w:pStyle w:val="v"/>
        <w:widowControl w:val="0"/>
        <w:numPr>
          <w:ilvl w:val="0"/>
          <w:numId w:val="9"/>
        </w:numPr>
        <w:tabs>
          <w:tab w:val="left" w:pos="1276"/>
        </w:tabs>
        <w:spacing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32CD4477" w14:textId="7CF2E175" w:rsidR="00783DE8" w:rsidRPr="00A86E43" w:rsidRDefault="00DF07F8" w:rsidP="00DF07F8">
      <w:pPr>
        <w:pStyle w:val="u"/>
        <w:widowControl w:val="0"/>
        <w:rPr>
          <w:rFonts w:asciiTheme="minorHAnsi" w:hAnsiTheme="minorHAnsi" w:cs="Arial"/>
          <w:szCs w:val="22"/>
        </w:rPr>
      </w:pPr>
      <w:r>
        <w:rPr>
          <w:rFonts w:asciiTheme="minorHAnsi" w:hAnsiTheme="minorHAnsi" w:cs="Arial"/>
          <w:szCs w:val="22"/>
        </w:rPr>
        <w:t>N/A</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0"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126922009"/>
      <w:bookmarkStart w:id="62" w:name="_Toc392669651"/>
      <w:r w:rsidRPr="00A86E43">
        <w:rPr>
          <w:rFonts w:asciiTheme="minorHAnsi" w:hAnsiTheme="minorHAnsi"/>
          <w:sz w:val="22"/>
          <w:szCs w:val="22"/>
        </w:rPr>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126922010"/>
      <w:r w:rsidRPr="00A86E43">
        <w:rPr>
          <w:rFonts w:asciiTheme="minorHAnsi" w:hAnsiTheme="minorHAnsi"/>
          <w:sz w:val="22"/>
          <w:szCs w:val="22"/>
        </w:rPr>
        <w:t>Propriété des résultats</w:t>
      </w:r>
      <w:bookmarkEnd w:id="63"/>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126922011"/>
      <w:r w:rsidRPr="00A86E43">
        <w:rPr>
          <w:rFonts w:asciiTheme="minorHAnsi" w:hAnsiTheme="minorHAnsi"/>
          <w:sz w:val="22"/>
          <w:szCs w:val="22"/>
        </w:rPr>
        <w:lastRenderedPageBreak/>
        <w:t>Exploitation des résultats</w:t>
      </w:r>
      <w:bookmarkEnd w:id="64"/>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126922013"/>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126922014"/>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26922015"/>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126922016"/>
      <w:r w:rsidRPr="00A86E43">
        <w:rPr>
          <w:rFonts w:asciiTheme="minorHAnsi" w:hAnsiTheme="minorHAnsi" w:cstheme="minorHAnsi"/>
          <w:sz w:val="22"/>
          <w:szCs w:val="22"/>
        </w:rPr>
        <w:t>Modalités générales de résiliation</w:t>
      </w:r>
      <w:bookmarkEnd w:id="69"/>
    </w:p>
    <w:p w14:paraId="1D7F1F4E" w14:textId="00625E23" w:rsidR="0000635E" w:rsidRDefault="0000635E" w:rsidP="00A1761D">
      <w:pPr>
        <w:spacing w:line="240" w:lineRule="auto"/>
        <w:ind w:left="567"/>
        <w:jc w:val="both"/>
        <w:rPr>
          <w:rFonts w:asciiTheme="minorHAnsi" w:hAnsiTheme="minorHAnsi" w:cstheme="minorHAnsi"/>
          <w:sz w:val="22"/>
          <w:szCs w:val="22"/>
        </w:rPr>
      </w:pPr>
      <w:r w:rsidRPr="00DF07F8">
        <w:rPr>
          <w:rFonts w:asciiTheme="minorHAnsi" w:hAnsiTheme="minorHAnsi" w:cstheme="minorHAnsi"/>
          <w:sz w:val="22"/>
          <w:szCs w:val="22"/>
        </w:rPr>
        <w:t xml:space="preserve">Le présent </w:t>
      </w:r>
      <w:r w:rsidRPr="00DF07F8">
        <w:rPr>
          <w:rFonts w:asciiTheme="minorHAnsi" w:hAnsiTheme="minorHAnsi" w:cstheme="minorHAnsi"/>
          <w:smallCaps/>
          <w:sz w:val="22"/>
          <w:szCs w:val="22"/>
        </w:rPr>
        <w:t>contrat</w:t>
      </w:r>
      <w:r w:rsidRPr="00DF07F8">
        <w:rPr>
          <w:rFonts w:asciiTheme="minorHAnsi" w:hAnsiTheme="minorHAnsi" w:cstheme="minorHAnsi"/>
          <w:sz w:val="22"/>
          <w:szCs w:val="22"/>
        </w:rPr>
        <w:t xml:space="preserve"> est soumis aux clauses de résiliation telle que défini</w:t>
      </w:r>
      <w:r w:rsidR="00884FDC" w:rsidRPr="00DF07F8">
        <w:rPr>
          <w:rFonts w:asciiTheme="minorHAnsi" w:hAnsiTheme="minorHAnsi" w:cstheme="minorHAnsi"/>
          <w:sz w:val="22"/>
          <w:szCs w:val="22"/>
        </w:rPr>
        <w:t>es aux articles 29 à 36 du CCAG</w:t>
      </w:r>
      <w:r w:rsidR="00B813FE" w:rsidRPr="00DF07F8">
        <w:rPr>
          <w:rFonts w:asciiTheme="minorHAnsi" w:hAnsiTheme="minorHAnsi" w:cstheme="minorHAnsi"/>
          <w:sz w:val="22"/>
          <w:szCs w:val="22"/>
        </w:rPr>
        <w:t xml:space="preserve"> FCS/TIC/PI</w:t>
      </w:r>
      <w:r w:rsidRPr="00DF07F8">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4BE7265"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Pr>
          <w:rFonts w:asciiTheme="minorHAnsi" w:hAnsiTheme="minorHAnsi" w:cstheme="minorHAnsi"/>
          <w:sz w:val="22"/>
          <w:szCs w:val="22"/>
        </w:rPr>
        <w:t>[</w:t>
      </w:r>
      <w:r w:rsidRPr="000C75D3">
        <w:rPr>
          <w:rFonts w:asciiTheme="minorHAnsi" w:hAnsiTheme="minorHAnsi" w:cstheme="minorHAnsi"/>
          <w:sz w:val="22"/>
          <w:szCs w:val="22"/>
          <w:highlight w:val="yellow"/>
        </w:rPr>
        <w:t>40 du CCAG PI</w:t>
      </w:r>
      <w:r w:rsidR="000C75D3">
        <w:rPr>
          <w:rFonts w:asciiTheme="minorHAnsi" w:hAnsiTheme="minorHAnsi" w:cstheme="minorHAnsi"/>
          <w:sz w:val="22"/>
          <w:szCs w:val="22"/>
        </w:rPr>
        <w:t>] [</w:t>
      </w:r>
      <w:r w:rsidR="000C75D3">
        <w:rPr>
          <w:rFonts w:asciiTheme="minorHAnsi" w:hAnsiTheme="minorHAnsi" w:cstheme="minorHAnsi"/>
          <w:sz w:val="22"/>
          <w:szCs w:val="22"/>
          <w:highlight w:val="yellow"/>
        </w:rPr>
        <w:t>42</w:t>
      </w:r>
      <w:r w:rsidR="000C75D3" w:rsidRPr="000C75D3">
        <w:rPr>
          <w:rFonts w:asciiTheme="minorHAnsi" w:hAnsiTheme="minorHAnsi" w:cstheme="minorHAnsi"/>
          <w:sz w:val="22"/>
          <w:szCs w:val="22"/>
          <w:highlight w:val="yellow"/>
        </w:rPr>
        <w:t xml:space="preserve"> du CCAG FCS</w:t>
      </w:r>
      <w:r w:rsidR="000C75D3">
        <w:rPr>
          <w:rFonts w:asciiTheme="minorHAnsi" w:hAnsiTheme="minorHAnsi" w:cstheme="minorHAnsi"/>
          <w:sz w:val="22"/>
          <w:szCs w:val="22"/>
        </w:rPr>
        <w:t>] [</w:t>
      </w:r>
      <w:r w:rsidR="000C75D3">
        <w:rPr>
          <w:rFonts w:asciiTheme="minorHAnsi" w:hAnsiTheme="minorHAnsi" w:cstheme="minorHAnsi"/>
          <w:sz w:val="22"/>
          <w:szCs w:val="22"/>
          <w:highlight w:val="yellow"/>
        </w:rPr>
        <w:t>52</w:t>
      </w:r>
      <w:r w:rsidR="000C75D3" w:rsidRPr="000C75D3">
        <w:rPr>
          <w:rFonts w:asciiTheme="minorHAnsi" w:hAnsiTheme="minorHAnsi" w:cstheme="minorHAnsi"/>
          <w:sz w:val="22"/>
          <w:szCs w:val="22"/>
          <w:highlight w:val="yellow"/>
        </w:rPr>
        <w:t xml:space="preserve"> du CCAG TIC</w:t>
      </w:r>
      <w:r w:rsidR="000C75D3">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0"/>
    </w:p>
    <w:p w14:paraId="3D72B336" w14:textId="4B3D5903"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w:t>
      </w:r>
      <w:r w:rsidR="00DF07F8">
        <w:rPr>
          <w:rFonts w:asciiTheme="minorHAnsi" w:hAnsiTheme="minorHAnsi" w:cstheme="minorHAnsi"/>
          <w:sz w:val="22"/>
          <w:szCs w:val="22"/>
        </w:rPr>
        <w:t>07</w:t>
      </w:r>
      <w:r w:rsidRPr="00A86E43">
        <w:rPr>
          <w:rFonts w:asciiTheme="minorHAnsi" w:hAnsiTheme="minorHAnsi" w:cstheme="minorHAnsi"/>
          <w:sz w:val="22"/>
          <w:szCs w:val="22"/>
        </w:rPr>
        <w:t xml:space="preserve">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AAD9711"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DF07F8">
        <w:rPr>
          <w:rFonts w:asciiTheme="minorHAnsi" w:hAnsiTheme="minorHAnsi" w:cstheme="minorHAnsi"/>
          <w:sz w:val="22"/>
          <w:szCs w:val="22"/>
        </w:rPr>
        <w:t>02</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1" w:name="_Toc126922018"/>
      <w:r w:rsidRPr="00A86E43">
        <w:rPr>
          <w:rFonts w:asciiTheme="minorHAnsi" w:hAnsiTheme="minorHAnsi" w:cstheme="minorHAnsi"/>
          <w:sz w:val="22"/>
          <w:szCs w:val="22"/>
        </w:rPr>
        <w:t>Procédure</w:t>
      </w:r>
      <w:bookmarkEnd w:id="71"/>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126922019"/>
      <w:r w:rsidR="00386EE8" w:rsidRPr="00E41C9A">
        <w:rPr>
          <w:rFonts w:asciiTheme="minorHAnsi" w:hAnsiTheme="minorHAnsi"/>
          <w:b/>
          <w:caps/>
          <w:sz w:val="24"/>
          <w:u w:val="single"/>
        </w:rPr>
        <w:t>Mesures et responsabilités en matière de sûreté et de sécurité</w:t>
      </w:r>
      <w:bookmarkEnd w:id="72"/>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3"/>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4" w:name="_Toc126922020"/>
      <w:r w:rsidRPr="00A86E43">
        <w:rPr>
          <w:rFonts w:asciiTheme="minorHAnsi" w:hAnsiTheme="minorHAnsi"/>
          <w:b/>
          <w:caps/>
          <w:sz w:val="24"/>
          <w:u w:val="single"/>
        </w:rPr>
        <w:t>Éthique</w:t>
      </w:r>
      <w:bookmarkEnd w:id="74"/>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61BCF24C"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5"/>
    </w:p>
    <w:p w14:paraId="28A84798" w14:textId="2B918CB5" w:rsidR="00DF07F8" w:rsidRDefault="00DF07F8" w:rsidP="00DA114C">
      <w:pPr>
        <w:widowControl w:val="0"/>
        <w:tabs>
          <w:tab w:val="left" w:pos="567"/>
        </w:tabs>
        <w:spacing w:before="120" w:line="240" w:lineRule="auto"/>
        <w:ind w:left="567"/>
        <w:jc w:val="both"/>
        <w:rPr>
          <w:rFonts w:ascii="Calibri" w:eastAsia="Times New Roman" w:hAnsi="Calibri" w:cs="Calibri"/>
          <w:sz w:val="22"/>
        </w:rPr>
      </w:pPr>
    </w:p>
    <w:p w14:paraId="09CFB740" w14:textId="77777777" w:rsidR="00DF07F8" w:rsidRPr="00E41C9A" w:rsidRDefault="00DF07F8" w:rsidP="00DA114C">
      <w:pPr>
        <w:widowControl w:val="0"/>
        <w:tabs>
          <w:tab w:val="left" w:pos="567"/>
        </w:tabs>
        <w:spacing w:before="120" w:line="240" w:lineRule="auto"/>
        <w:ind w:left="567"/>
        <w:jc w:val="both"/>
        <w:rPr>
          <w:rFonts w:ascii="Calibri" w:eastAsia="Times New Roman" w:hAnsi="Calibri" w:cs="Calibri"/>
          <w:sz w:val="22"/>
        </w:rPr>
      </w:pP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2692202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1"/>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2023"/>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2"/>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3"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4" w:name="_Toc126922022"/>
      <w:r w:rsidRPr="00A86E43">
        <w:rPr>
          <w:rFonts w:asciiTheme="minorHAnsi" w:hAnsiTheme="minorHAnsi"/>
          <w:b/>
          <w:caps/>
          <w:sz w:val="24"/>
          <w:u w:val="single"/>
        </w:rPr>
        <w:t>RÈglement des litiges - DROIT Français APPLICABLE</w:t>
      </w:r>
      <w:bookmarkEnd w:id="124"/>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lastRenderedPageBreak/>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3"/>
    </w:p>
    <w:p w14:paraId="48B71179" w14:textId="77777777" w:rsidR="00800C6C" w:rsidRDefault="00800C6C" w:rsidP="00A1761D">
      <w:pPr>
        <w:pStyle w:val="Titre2"/>
        <w:spacing w:before="120" w:after="60"/>
        <w:jc w:val="both"/>
        <w:rPr>
          <w:rFonts w:asciiTheme="minorHAnsi" w:hAnsiTheme="minorHAnsi"/>
          <w:sz w:val="22"/>
          <w:szCs w:val="22"/>
        </w:rPr>
      </w:pPr>
      <w:bookmarkStart w:id="125" w:name="_Toc392669654"/>
      <w:bookmarkStart w:id="126" w:name="_Toc126922025"/>
      <w:r w:rsidRPr="00A86E43">
        <w:rPr>
          <w:rFonts w:asciiTheme="minorHAnsi" w:hAnsiTheme="minorHAnsi"/>
          <w:sz w:val="22"/>
          <w:szCs w:val="22"/>
        </w:rPr>
        <w:t>Déclaration</w:t>
      </w:r>
      <w:bookmarkEnd w:id="125"/>
      <w:bookmarkEnd w:id="126"/>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7"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7"/>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60046" w14:textId="77777777" w:rsidR="00E45D4D" w:rsidRDefault="00E45D4D">
      <w:r>
        <w:separator/>
      </w:r>
    </w:p>
  </w:endnote>
  <w:endnote w:type="continuationSeparator" w:id="0">
    <w:p w14:paraId="1B44B257" w14:textId="77777777" w:rsidR="00E45D4D" w:rsidRDefault="00E45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BB2B57" w:rsidRDefault="00BB2B5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742F957" w:rsidR="00BB2B57" w:rsidRDefault="00BB2B5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A0BB4">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A0BB4">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BB2B57" w:rsidRDefault="00BB2B57"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BB2B57" w:rsidRDefault="00BB2B5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26C2704" w:rsidR="00BB2B57" w:rsidRDefault="00BB2B5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A0BB4">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A0BB4">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BB2B57" w:rsidRDefault="00BB2B5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BB2B57" w:rsidRDefault="00BB2B5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BB2B57" w:rsidRPr="00065565" w:rsidRDefault="00BB2B5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BB2B57" w:rsidRDefault="00BB2B57">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BB2B57" w:rsidRPr="00EE0FDD" w:rsidRDefault="00BB2B5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18C32535" w:rsidR="00BB2B57" w:rsidRPr="00FF1F8E" w:rsidRDefault="00BB2B5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A0BB4">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A0BB4">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847E1" w14:textId="77777777" w:rsidR="00E45D4D" w:rsidRDefault="00E45D4D">
      <w:r>
        <w:separator/>
      </w:r>
    </w:p>
  </w:footnote>
  <w:footnote w:type="continuationSeparator" w:id="0">
    <w:p w14:paraId="0B625AC6" w14:textId="77777777" w:rsidR="00E45D4D" w:rsidRDefault="00E45D4D">
      <w:r>
        <w:continuationSeparator/>
      </w:r>
    </w:p>
  </w:footnote>
  <w:footnote w:id="1">
    <w:p w14:paraId="3C25A372" w14:textId="77777777" w:rsidR="00BB2B57" w:rsidRPr="005E2563" w:rsidRDefault="00BB2B57"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BB2B57" w:rsidRPr="00A86E43" w:rsidRDefault="00BB2B57"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BB2B57" w:rsidRPr="00B21564" w:rsidRDefault="00BB2B57"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BB2B57" w:rsidRPr="00A86E43" w:rsidRDefault="00BB2B5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BB2B57" w:rsidRDefault="00BB2B5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BB2B57" w:rsidRPr="00707B69" w:rsidRDefault="00BB2B5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BB2B57" w:rsidRPr="00AC48DD" w:rsidRDefault="00BB2B5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BB2B57" w:rsidRDefault="00BB2B5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BB2B57" w:rsidRPr="00AC48DD" w:rsidRDefault="00BB2B5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BB2B57" w:rsidRDefault="00BB2B5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BB2B57" w:rsidRDefault="00BB2B57">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BB2B57" w:rsidRPr="00707B69" w:rsidRDefault="00BB2B5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BB2B57" w:rsidRPr="00AC48DD" w:rsidRDefault="00BB2B5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BB2B57" w:rsidRDefault="00BB2B5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BB2B57" w:rsidRPr="00AC48DD" w:rsidRDefault="00BB2B5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BB2B57" w:rsidRPr="00707B69" w:rsidRDefault="00BB2B5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BB2B57" w:rsidRPr="00AC48DD" w:rsidRDefault="00BB2B5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BB2B57" w:rsidRDefault="00BB2B5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BB2B57" w:rsidRPr="00996FEA" w:rsidRDefault="00BB2B5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A5DAC"/>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37640"/>
    <w:rsid w:val="0044275E"/>
    <w:rsid w:val="004441AD"/>
    <w:rsid w:val="004537EA"/>
    <w:rsid w:val="00454B53"/>
    <w:rsid w:val="00456853"/>
    <w:rsid w:val="0045693E"/>
    <w:rsid w:val="00456DBD"/>
    <w:rsid w:val="00464549"/>
    <w:rsid w:val="00466A20"/>
    <w:rsid w:val="004709C6"/>
    <w:rsid w:val="0048479B"/>
    <w:rsid w:val="00494C0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67BB3"/>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1D26"/>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4F3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14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32D"/>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3AD"/>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2B57"/>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268"/>
    <w:rsid w:val="00D044BB"/>
    <w:rsid w:val="00D069BC"/>
    <w:rsid w:val="00D07897"/>
    <w:rsid w:val="00D10387"/>
    <w:rsid w:val="00D1129B"/>
    <w:rsid w:val="00D11F49"/>
    <w:rsid w:val="00D127A4"/>
    <w:rsid w:val="00D143FE"/>
    <w:rsid w:val="00D23E07"/>
    <w:rsid w:val="00D24C20"/>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07F8"/>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45D4D"/>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09A"/>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0BB4"/>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2">
    <w:name w:val="Grille du tableau2"/>
    <w:basedOn w:val="TableauNormal"/>
    <w:next w:val="Grilledutableau"/>
    <w:uiPriority w:val="99"/>
    <w:rsid w:val="00BB2B5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0B122-2508-4B35-ABEB-3B853B9B9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TotalTime>
  <Pages>20</Pages>
  <Words>6190</Words>
  <Characters>34047</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40157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Laurel ZOUNDE</cp:lastModifiedBy>
  <cp:revision>4</cp:revision>
  <cp:lastPrinted>2014-11-19T14:39:00Z</cp:lastPrinted>
  <dcterms:created xsi:type="dcterms:W3CDTF">2025-05-23T13:18:00Z</dcterms:created>
  <dcterms:modified xsi:type="dcterms:W3CDTF">2025-07-17T19:17:00Z</dcterms:modified>
</cp:coreProperties>
</file>